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Вопросы</w:t>
      </w:r>
      <w:r w:rsidRPr="003B2344">
        <w:rPr>
          <w:rFonts w:ascii="Times New Roman" w:hAnsi="Times New Roman" w:cs="Times New Roman"/>
          <w:b/>
          <w:sz w:val="27"/>
          <w:szCs w:val="27"/>
        </w:rPr>
        <w:t xml:space="preserve"> применения налогоплательщиками-организациями заявительного порядка предоставления налоговых льгот по транспортному и земельному налогам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3B2344">
        <w:rPr>
          <w:rFonts w:ascii="Times New Roman" w:hAnsi="Times New Roman" w:cs="Times New Roman"/>
          <w:sz w:val="26"/>
          <w:szCs w:val="26"/>
        </w:rPr>
        <w:t>С какого налогового периода может использоваться заявление о предоставлении налоговой льготы по транспортному налогу и (или) земельному налогу</w:t>
      </w:r>
      <w:r w:rsidRPr="003B2344">
        <w:rPr>
          <w:rStyle w:val="a8"/>
          <w:rFonts w:ascii="Times New Roman" w:hAnsi="Times New Roman" w:cs="Times New Roman"/>
          <w:sz w:val="26"/>
          <w:szCs w:val="26"/>
        </w:rPr>
        <w:footnoteReference w:id="1"/>
      </w:r>
      <w:r w:rsidRPr="003B2344">
        <w:rPr>
          <w:rFonts w:ascii="Times New Roman" w:hAnsi="Times New Roman" w:cs="Times New Roman"/>
          <w:sz w:val="26"/>
          <w:szCs w:val="26"/>
        </w:rPr>
        <w:t xml:space="preserve"> по форме, предусмотренной приложением № 1 к приказу ФНС России от 25.07.2019 № ММВ-7-21/377@ «Об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форме» (зарегистрирован Минюстом</w:t>
      </w:r>
      <w:proofErr w:type="gramEnd"/>
      <w:r w:rsidRPr="003B234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B2344">
        <w:rPr>
          <w:rFonts w:ascii="Times New Roman" w:hAnsi="Times New Roman" w:cs="Times New Roman"/>
          <w:sz w:val="26"/>
          <w:szCs w:val="26"/>
        </w:rPr>
        <w:t>России 10.09.2019, регистрационный № 55866)</w:t>
      </w:r>
      <w:r w:rsidRPr="003B2344">
        <w:rPr>
          <w:rStyle w:val="a8"/>
          <w:rFonts w:ascii="Times New Roman" w:hAnsi="Times New Roman" w:cs="Times New Roman"/>
          <w:sz w:val="26"/>
          <w:szCs w:val="26"/>
        </w:rPr>
        <w:footnoteReference w:id="2"/>
      </w:r>
      <w:r w:rsidRPr="003B2344">
        <w:rPr>
          <w:rFonts w:ascii="Times New Roman" w:hAnsi="Times New Roman" w:cs="Times New Roman"/>
          <w:sz w:val="26"/>
          <w:szCs w:val="26"/>
        </w:rPr>
        <w:t xml:space="preserve">? </w:t>
      </w:r>
      <w:proofErr w:type="gramEnd"/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b/>
          <w:sz w:val="26"/>
          <w:szCs w:val="26"/>
        </w:rPr>
        <w:t>Разъяснения (рекомендации)</w:t>
      </w:r>
    </w:p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Заявление о льготе может быть подано (направлено) в налоговый орган в целях предоставления налоговой льготы, относящейся к налоговому периоду с 2020 года (</w:t>
      </w:r>
      <w:hyperlink r:id="rId7" w:history="1">
        <w:r w:rsidRPr="003B2344">
          <w:rPr>
            <w:rFonts w:ascii="Times New Roman" w:hAnsi="Times New Roman" w:cs="Times New Roman"/>
            <w:sz w:val="26"/>
            <w:szCs w:val="26"/>
          </w:rPr>
          <w:t>пункт 3 статьи 361</w:t>
        </w:r>
        <w:r w:rsidRPr="003B2344">
          <w:rPr>
            <w:rFonts w:ascii="Times New Roman" w:hAnsi="Times New Roman" w:cs="Times New Roman"/>
            <w:sz w:val="26"/>
            <w:szCs w:val="26"/>
            <w:vertAlign w:val="superscript"/>
          </w:rPr>
          <w:t>1</w:t>
        </w:r>
      </w:hyperlink>
      <w:r w:rsidRPr="003B2344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3B2344">
          <w:rPr>
            <w:rFonts w:ascii="Times New Roman" w:hAnsi="Times New Roman" w:cs="Times New Roman"/>
            <w:sz w:val="26"/>
            <w:szCs w:val="26"/>
          </w:rPr>
          <w:t>пункт 10 статьи 396</w:t>
        </w:r>
      </w:hyperlink>
      <w:r w:rsidRPr="003B2344">
        <w:rPr>
          <w:rFonts w:ascii="Times New Roman" w:hAnsi="Times New Roman" w:cs="Times New Roman"/>
          <w:sz w:val="26"/>
          <w:szCs w:val="26"/>
        </w:rPr>
        <w:t xml:space="preserve"> Налогового кодекса Российской Федерации, в редакции Федеральных законов от 15.04.2019 </w:t>
      </w:r>
      <w:hyperlink r:id="rId9" w:history="1">
        <w:r w:rsidRPr="003B2344">
          <w:rPr>
            <w:rFonts w:ascii="Times New Roman" w:hAnsi="Times New Roman" w:cs="Times New Roman"/>
            <w:sz w:val="26"/>
            <w:szCs w:val="26"/>
          </w:rPr>
          <w:t>№</w:t>
        </w:r>
      </w:hyperlink>
      <w:r w:rsidRPr="003B2344">
        <w:rPr>
          <w:rFonts w:ascii="Times New Roman" w:hAnsi="Times New Roman" w:cs="Times New Roman"/>
          <w:sz w:val="26"/>
          <w:szCs w:val="26"/>
        </w:rPr>
        <w:t xml:space="preserve"> 63-ФЗ и от 29.09.2019 </w:t>
      </w:r>
      <w:hyperlink r:id="rId10" w:history="1">
        <w:r w:rsidRPr="003B2344">
          <w:rPr>
            <w:rFonts w:ascii="Times New Roman" w:hAnsi="Times New Roman" w:cs="Times New Roman"/>
            <w:sz w:val="26"/>
            <w:szCs w:val="26"/>
          </w:rPr>
          <w:t>№</w:t>
        </w:r>
      </w:hyperlink>
      <w:r w:rsidRPr="003B2344">
        <w:rPr>
          <w:rFonts w:ascii="Times New Roman" w:hAnsi="Times New Roman" w:cs="Times New Roman"/>
          <w:sz w:val="26"/>
          <w:szCs w:val="26"/>
        </w:rPr>
        <w:t xml:space="preserve"> 325-ФЗ)</w:t>
      </w:r>
      <w:r w:rsidRPr="003B2344">
        <w:rPr>
          <w:rStyle w:val="a8"/>
          <w:rFonts w:ascii="Times New Roman" w:hAnsi="Times New Roman" w:cs="Times New Roman"/>
          <w:sz w:val="26"/>
          <w:szCs w:val="26"/>
        </w:rPr>
        <w:footnoteReference w:id="3"/>
      </w:r>
      <w:r w:rsidRPr="003B2344">
        <w:rPr>
          <w:rFonts w:ascii="Times New Roman" w:hAnsi="Times New Roman" w:cs="Times New Roman"/>
          <w:sz w:val="26"/>
          <w:szCs w:val="26"/>
        </w:rPr>
        <w:t>.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2. В течение 2020 года организация, имеющая налоговые льготы, намерена ликвидироваться. За период с начала 2020 года до ликвидации </w:t>
      </w:r>
      <w:proofErr w:type="gramStart"/>
      <w:r w:rsidRPr="003B2344">
        <w:rPr>
          <w:rFonts w:ascii="Times New Roman" w:hAnsi="Times New Roman" w:cs="Times New Roman"/>
          <w:sz w:val="26"/>
          <w:szCs w:val="26"/>
        </w:rPr>
        <w:t>организации</w:t>
      </w:r>
      <w:proofErr w:type="gramEnd"/>
      <w:r w:rsidRPr="003B2344">
        <w:rPr>
          <w:rFonts w:ascii="Times New Roman" w:hAnsi="Times New Roman" w:cs="Times New Roman"/>
          <w:sz w:val="26"/>
          <w:szCs w:val="26"/>
        </w:rPr>
        <w:t xml:space="preserve"> каким образом можно заявить налоговые льготы?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b/>
          <w:sz w:val="26"/>
          <w:szCs w:val="26"/>
        </w:rPr>
        <w:t xml:space="preserve">Разъяснения (рекомендации) </w:t>
      </w:r>
    </w:p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2344">
        <w:rPr>
          <w:rFonts w:ascii="Times New Roman" w:hAnsi="Times New Roman" w:cs="Times New Roman"/>
          <w:sz w:val="26"/>
          <w:szCs w:val="26"/>
        </w:rPr>
        <w:t>Учитывая, что в рассматриваемом случае налоговый период 2020 года полностью не истек, налоговые льготы заявляются в соответствии с ранее действовавшими положениями нормативных актов, относящихся к порядку представления налоговых деклараций по транспортному и земельному налогам (пункт 3 статьи 55 Налогового кодекса, приказы ФНС России от 05.12.2016 №</w:t>
      </w:r>
      <w:hyperlink r:id="rId11" w:history="1">
        <w:r w:rsidRPr="003B2344">
          <w:rPr>
            <w:rFonts w:ascii="Times New Roman" w:hAnsi="Times New Roman" w:cs="Times New Roman"/>
            <w:sz w:val="26"/>
            <w:szCs w:val="26"/>
          </w:rPr>
          <w:t xml:space="preserve"> ММВ-7-21/668@</w:t>
        </w:r>
      </w:hyperlink>
      <w:r w:rsidRPr="003B2344">
        <w:rPr>
          <w:rFonts w:ascii="Times New Roman" w:hAnsi="Times New Roman" w:cs="Times New Roman"/>
          <w:sz w:val="26"/>
          <w:szCs w:val="26"/>
        </w:rPr>
        <w:t xml:space="preserve"> и от 10.05.2017 </w:t>
      </w:r>
      <w:hyperlink r:id="rId12" w:history="1">
        <w:r w:rsidRPr="003B2344">
          <w:rPr>
            <w:rFonts w:ascii="Times New Roman" w:hAnsi="Times New Roman" w:cs="Times New Roman"/>
            <w:sz w:val="26"/>
            <w:szCs w:val="26"/>
          </w:rPr>
          <w:t>№ ММВ-7-21/347@</w:t>
        </w:r>
      </w:hyperlink>
      <w:r w:rsidRPr="003B2344">
        <w:rPr>
          <w:rFonts w:ascii="Times New Roman" w:hAnsi="Times New Roman" w:cs="Times New Roman"/>
          <w:sz w:val="26"/>
          <w:szCs w:val="26"/>
        </w:rPr>
        <w:t xml:space="preserve">).  </w:t>
      </w:r>
      <w:proofErr w:type="gramEnd"/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3. Допустимо ли применять налоговые льготы при исчислении и уплате авансовых платежей по транспортному и (или) земельному налогам</w:t>
      </w:r>
      <w:r w:rsidRPr="003B2344">
        <w:rPr>
          <w:rStyle w:val="a8"/>
          <w:rFonts w:ascii="Times New Roman" w:hAnsi="Times New Roman" w:cs="Times New Roman"/>
          <w:sz w:val="26"/>
          <w:szCs w:val="26"/>
        </w:rPr>
        <w:footnoteReference w:id="4"/>
      </w:r>
      <w:r w:rsidRPr="003B2344">
        <w:rPr>
          <w:rFonts w:ascii="Times New Roman" w:hAnsi="Times New Roman" w:cs="Times New Roman"/>
          <w:sz w:val="26"/>
          <w:szCs w:val="26"/>
        </w:rPr>
        <w:t xml:space="preserve"> в течение налогового периода в случае, если заявление о льготе в этом налоговом периоде в налоговый орган не представлено?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b/>
          <w:sz w:val="26"/>
          <w:szCs w:val="26"/>
        </w:rPr>
        <w:t xml:space="preserve">Разъяснения (рекомендации)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Положения глав 28 «Транспортный налог» и 31 «Земельный налог» Налогового кодекса не связывают уплату авансовых платежей по налогам и применение налоговых льгот с обязательным представлением заявления о льготе в течение какого-либо определённого периода.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Необходимо понимать, что в соответствии с пунктом 4 статьи 363 и пунктом 5 статьи 397 Налогового кодекса, начиная с 01.01.2021, в целях обеспечения полноты уплаты налогов налоговые органы передают (направляют) налогоплательщикам (их обособленным подразделениям) по истечении соответствующего налогового периода сообщения об исчисленных налоговыми органами суммах налогов</w:t>
      </w:r>
      <w:r w:rsidRPr="003B2344">
        <w:rPr>
          <w:rStyle w:val="a8"/>
          <w:rFonts w:ascii="Times New Roman" w:hAnsi="Times New Roman" w:cs="Times New Roman"/>
          <w:sz w:val="26"/>
          <w:szCs w:val="26"/>
        </w:rPr>
        <w:footnoteReference w:id="5"/>
      </w:r>
      <w:r w:rsidRPr="003B234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Сообщение составляется на основе информации, имеющейся у налогового органа, в </w:t>
      </w:r>
      <w:proofErr w:type="spellStart"/>
      <w:r w:rsidRPr="003B2344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3B2344">
        <w:rPr>
          <w:rFonts w:ascii="Times New Roman" w:hAnsi="Times New Roman" w:cs="Times New Roman"/>
          <w:sz w:val="26"/>
          <w:szCs w:val="26"/>
        </w:rPr>
        <w:t xml:space="preserve">. результатов рассмотрения заявления о льготе.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lastRenderedPageBreak/>
        <w:t xml:space="preserve">Таким образом, если налоговый орган на дату составления Сообщения не обладает информацией о предоставленной налоговой льготе, в Сообщение будут включены суммы исчисленных налогов без учета налоговых льгот. В дальнейшем, в соответствии с пунктом 6 статьи 363 и пунктом 5 статьи 397 НК РФ налогоплательщик вправе представить в налоговый орган пояснения и (или) документы, подтверждающие обоснованность применения налоговых льгот, в частности, заявление о льготе за соответствующий период. </w:t>
      </w:r>
    </w:p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Если по итогам рассмотрения налоговым органом пояснений и (или) документов будет выявлена недоимка по налогам (например, в связи с тем, что налогоплательщик не представлял в налоговый орган заявление о льготе либо получил сообщение об отказе от предоставления налоговой льготы, при этом фактически учитывал налоговую льготу, и это привело к занижению суммы уплаченного </w:t>
      </w:r>
      <w:proofErr w:type="gramStart"/>
      <w:r w:rsidRPr="003B2344">
        <w:rPr>
          <w:rFonts w:ascii="Times New Roman" w:hAnsi="Times New Roman" w:cs="Times New Roman"/>
          <w:sz w:val="26"/>
          <w:szCs w:val="26"/>
        </w:rPr>
        <w:t xml:space="preserve">налога) </w:t>
      </w:r>
      <w:proofErr w:type="gramEnd"/>
      <w:r w:rsidRPr="003B2344">
        <w:rPr>
          <w:rFonts w:ascii="Times New Roman" w:hAnsi="Times New Roman" w:cs="Times New Roman"/>
          <w:sz w:val="26"/>
          <w:szCs w:val="26"/>
        </w:rPr>
        <w:t xml:space="preserve">налоговый орган принимает меры по взысканию недоимки (пункт 7 статьи 363, пункт 5 статьи 397 Налогового кодекса).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4. В какой срок необходимо представить заявление о льготе?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b/>
          <w:sz w:val="26"/>
          <w:szCs w:val="26"/>
        </w:rPr>
        <w:t xml:space="preserve">Разъяснения (рекомендации) </w:t>
      </w:r>
    </w:p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Срок для представления в налоговый орган заявления о льготе Налоговым кодексом не установлен.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5. По результатам рассмотрения заявления о льготе налоговый орган должен направить уведомление о предоставлении налоговой льготы либо сообщение об отказе от предоставления налоговой льготы. По какой форме оформляются указанные документы?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b/>
          <w:sz w:val="26"/>
          <w:szCs w:val="26"/>
        </w:rPr>
        <w:t xml:space="preserve">Разъяснения (рекомендации)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Формы уведомления о предоставлении налоговой льготы, сообщения об отказе от предоставления налоговой льготы утверждаются федеральным органом исполнительной власти, уполномоченным по контролю и надзору в области налогов и сборов (пункт 3 статьи </w:t>
      </w:r>
      <w:hyperlink r:id="rId13" w:history="1">
        <w:r w:rsidRPr="003B2344">
          <w:rPr>
            <w:rFonts w:ascii="Times New Roman" w:hAnsi="Times New Roman" w:cs="Times New Roman"/>
            <w:sz w:val="26"/>
            <w:szCs w:val="26"/>
          </w:rPr>
          <w:t>361</w:t>
        </w:r>
        <w:r w:rsidRPr="003B2344">
          <w:rPr>
            <w:rFonts w:ascii="Times New Roman" w:hAnsi="Times New Roman" w:cs="Times New Roman"/>
            <w:sz w:val="26"/>
            <w:szCs w:val="26"/>
            <w:vertAlign w:val="superscript"/>
          </w:rPr>
          <w:t>1</w:t>
        </w:r>
      </w:hyperlink>
      <w:r w:rsidRPr="003B2344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3B2344">
          <w:rPr>
            <w:rFonts w:ascii="Times New Roman" w:hAnsi="Times New Roman" w:cs="Times New Roman"/>
            <w:sz w:val="26"/>
            <w:szCs w:val="26"/>
          </w:rPr>
          <w:t>пункт 10 статьи 396</w:t>
        </w:r>
      </w:hyperlink>
      <w:r w:rsidRPr="003B2344">
        <w:rPr>
          <w:rFonts w:ascii="Times New Roman" w:hAnsi="Times New Roman" w:cs="Times New Roman"/>
          <w:sz w:val="26"/>
          <w:szCs w:val="26"/>
        </w:rPr>
        <w:t xml:space="preserve"> Налогового кодекса). В настоящее время соответствующий приказ ФНС России от 12.11.2019 № ММВ-7-21/566@ находится на государственной регистрации в Минюсте России. </w:t>
      </w:r>
    </w:p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До вступления в силу приказа в качестве рекомендованных могут применяться формы, предусмотренные приложениями №№ 6, 7 к письму ФНС России от 25.09.2019 № БС-4-21/19518@ «Об организации обработки сообщений, заявлений и уведомлений, поступивших в налоговые органы по вопросам налогообложения имущества».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6. Допускается ли по одному заявлению о льготе одновременное направление уведомления о предоставлении налоговой льготы и сообщения об отказе от предоставления налоговой льготы?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b/>
          <w:sz w:val="26"/>
          <w:szCs w:val="26"/>
        </w:rPr>
        <w:t xml:space="preserve">Разъяснения (рекомендации)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Да, допускается при наличии соответствующих оснований применительно к разным периодам действия заявленной налоговой льготы и (или) разным налогам, по которым представлено заявление о льготе. </w:t>
      </w:r>
    </w:p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2344">
        <w:rPr>
          <w:rFonts w:ascii="Times New Roman" w:hAnsi="Times New Roman" w:cs="Times New Roman"/>
          <w:sz w:val="26"/>
          <w:szCs w:val="26"/>
        </w:rPr>
        <w:t>Например, в заявлении о льготе указан срок предоставления налоговой льготы с 01.01 по 01.09, при этом за период с 01.01 по 31.05 действие налоговой льготы подтверждено (за этот период направляется уведомление о предоставлении налоговой льготы), а за период с 01.06 по 01.09 действие налоговой льготы не подтверждено (за этот период направляется сообщение об отказе от предоставления налоговой льготы).</w:t>
      </w:r>
      <w:proofErr w:type="gramEnd"/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7. Допускается ли предоставление заявления о льготе по </w:t>
      </w:r>
      <w:proofErr w:type="spellStart"/>
      <w:r w:rsidRPr="003B2344">
        <w:rPr>
          <w:rFonts w:ascii="Times New Roman" w:hAnsi="Times New Roman" w:cs="Times New Roman"/>
          <w:sz w:val="26"/>
          <w:szCs w:val="26"/>
        </w:rPr>
        <w:t>необъектам</w:t>
      </w:r>
      <w:proofErr w:type="spellEnd"/>
      <w:r w:rsidRPr="003B2344">
        <w:rPr>
          <w:rFonts w:ascii="Times New Roman" w:hAnsi="Times New Roman" w:cs="Times New Roman"/>
          <w:sz w:val="26"/>
          <w:szCs w:val="26"/>
        </w:rPr>
        <w:t xml:space="preserve"> налогообложения?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b/>
          <w:sz w:val="26"/>
          <w:szCs w:val="26"/>
        </w:rPr>
        <w:t xml:space="preserve">Разъяснения (рекомендации) </w:t>
      </w:r>
    </w:p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lastRenderedPageBreak/>
        <w:t xml:space="preserve">По транспортным средствам и земельным участкам, которые не являются объектами налогообложения (пункт 2 статьи 358, пункт 2 статьи 389 Налогового кодекса), отсутствует необходимость представления заявления о льготе в связи с тем, что по ним не имеется налогоплательщиков.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8. Можно ли в первый месяц налогового периода представить заявление о льготе для её использования в течение всего этого налогового периода?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b/>
          <w:sz w:val="26"/>
          <w:szCs w:val="26"/>
        </w:rPr>
        <w:t xml:space="preserve">Разъяснения (рекомендации)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Срок для представления заявления о льготе в налоговый орган определяется налогоплательщиком.</w:t>
      </w:r>
    </w:p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В рассматриваемой ситуации целесообразно понимать, что, если в заявлении о льготе будет указан весь налоговый период, за который заявлена налоговая льгота, для направления уведомления о предоставлении налоговой льготы налоговый орган должен располагать сведениями, подтверждающими право налогоплательщика на налоговую льготу за период, указанный в заявлении о льготе. В противном случае в отношении неподтверждённого периода действия налоговой льготы будет направлено сообщение об отказе от предоставления налоговой льготы.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9. Какой налоговый орган уполномочен рассматривать заявление о льготе по существу?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b/>
          <w:sz w:val="26"/>
          <w:szCs w:val="26"/>
        </w:rPr>
        <w:t xml:space="preserve">Разъяснения (рекомендации) </w:t>
      </w:r>
    </w:p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Налоговый орган по месту нахождения объекта налогообложения, указанного в заявлении о льготе (пункт 5 статьи 83 Налогового кодекса, пункты 1.6, 2.1 приложения к письму ФНС России от 25.09.2019 № БС-4-21/19518@).</w:t>
      </w:r>
    </w:p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10. Допускается ли направление заявления о льготе через личный кабинет налогоплательщика на сайте ФНС России?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b/>
          <w:sz w:val="26"/>
          <w:szCs w:val="26"/>
        </w:rPr>
        <w:t xml:space="preserve">Разъяснения (рекомендации) </w:t>
      </w:r>
    </w:p>
    <w:p w:rsidR="004D27B6" w:rsidRPr="003B2344" w:rsidRDefault="004D27B6" w:rsidP="004D27B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>Нет, не допускается. В силу пункта 1 статьи 11</w:t>
      </w:r>
      <w:r w:rsidRPr="003B23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3B2344">
        <w:rPr>
          <w:rFonts w:ascii="Times New Roman" w:hAnsi="Times New Roman" w:cs="Times New Roman"/>
          <w:sz w:val="26"/>
          <w:szCs w:val="26"/>
        </w:rPr>
        <w:t xml:space="preserve"> Налогового кодекса личный кабинет налогоплательщика используется для реализации налогоплательщиками своих прав только в случаях, предусмотренных Налоговым кодексом. Представление организациями заявления о льготе через личный кабинет налогоплательщика Налоговым кодексом не предусмотрено.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11. Требуется ли представление заявления о льготе для применения пониженной налоговой ставки в отношении земельных участков определённого вида разрешенного использования?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2344">
        <w:rPr>
          <w:rFonts w:ascii="Times New Roman" w:hAnsi="Times New Roman" w:cs="Times New Roman"/>
          <w:b/>
          <w:sz w:val="26"/>
          <w:szCs w:val="26"/>
        </w:rPr>
        <w:t xml:space="preserve">Разъяснения (рекомендации) 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Нет, не требуется. </w:t>
      </w:r>
      <w:proofErr w:type="gramStart"/>
      <w:r w:rsidRPr="003B2344">
        <w:rPr>
          <w:rFonts w:ascii="Times New Roman" w:hAnsi="Times New Roman" w:cs="Times New Roman"/>
          <w:sz w:val="26"/>
          <w:szCs w:val="26"/>
        </w:rPr>
        <w:t>Исходя из абзаца первого пункта 2 статьи 387 Налогового кодекса полномочия по определению налоговых ставок по земельному налогу не отождествляются</w:t>
      </w:r>
      <w:proofErr w:type="gramEnd"/>
      <w:r w:rsidRPr="003B2344">
        <w:rPr>
          <w:rFonts w:ascii="Times New Roman" w:hAnsi="Times New Roman" w:cs="Times New Roman"/>
          <w:sz w:val="26"/>
          <w:szCs w:val="26"/>
        </w:rPr>
        <w:t xml:space="preserve"> с полномочиями по установлению налоговых льгот в соответствии с абзацем вторым пункта 2 статьи 387 Налогового кодекса. В отличие от налоговой ставки налоговая льгота не является обязательным элементом налогообложения (пункты 1, 2 статьи 17 Налогового кодекса).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t xml:space="preserve">Учитывая изложенное, целесообразно использовать позицию, содержащуюся в письме Минфина России от 01.10.2018 № 03-05-04-01/70113, о том, что пониженные налоговые ставки для налогообложения земельных участков определённых видов не являются налоговыми льготами для целей налогового администрирования. </w:t>
      </w:r>
    </w:p>
    <w:p w:rsidR="004D27B6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344">
        <w:rPr>
          <w:rFonts w:ascii="Times New Roman" w:hAnsi="Times New Roman" w:cs="Times New Roman"/>
          <w:sz w:val="26"/>
          <w:szCs w:val="26"/>
        </w:rPr>
        <w:lastRenderedPageBreak/>
        <w:t>Таким образом, для применения пониженной налоговой ставки в отношении земельных участков определённых видов разрешенного использования (например, ставки, определённой статьёй 2 Закона г. Москвы от 24.11.2004 № 74 «О земельном налоге» в размере 0,1 процента в отношении земельных участков, занятых жилищным фондом) заявление о льготе не требуется.</w:t>
      </w:r>
    </w:p>
    <w:p w:rsidR="004D27B6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27B6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bookmarkStart w:id="0" w:name="_GoBack"/>
      <w:bookmarkEnd w:id="0"/>
    </w:p>
    <w:p w:rsidR="004D27B6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7"/>
          <w:szCs w:val="27"/>
        </w:rPr>
      </w:pPr>
      <w:proofErr w:type="gramStart"/>
      <w:r>
        <w:rPr>
          <w:rFonts w:ascii="Times New Roman" w:hAnsi="Times New Roman" w:cs="Times New Roman"/>
          <w:bCs/>
          <w:sz w:val="27"/>
          <w:szCs w:val="27"/>
        </w:rPr>
        <w:t>Межрайонная</w:t>
      </w:r>
      <w:proofErr w:type="gramEnd"/>
      <w:r>
        <w:rPr>
          <w:rFonts w:ascii="Times New Roman" w:hAnsi="Times New Roman" w:cs="Times New Roman"/>
          <w:bCs/>
          <w:sz w:val="27"/>
          <w:szCs w:val="27"/>
        </w:rPr>
        <w:t xml:space="preserve"> ИФНС России №15</w:t>
      </w:r>
    </w:p>
    <w:p w:rsidR="004D27B6" w:rsidRPr="003B2344" w:rsidRDefault="004D27B6" w:rsidP="004D27B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7"/>
          <w:szCs w:val="27"/>
        </w:rPr>
        <w:t xml:space="preserve"> по Новосибирской области</w:t>
      </w:r>
    </w:p>
    <w:p w:rsidR="003F6C89" w:rsidRDefault="003F6C89"/>
    <w:sectPr w:rsidR="003F6C89" w:rsidSect="00C55878">
      <w:headerReference w:type="even" r:id="rId15"/>
      <w:headerReference w:type="default" r:id="rId16"/>
      <w:pgSz w:w="11906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218" w:rsidRDefault="009E4218" w:rsidP="004D27B6">
      <w:pPr>
        <w:spacing w:after="0" w:line="240" w:lineRule="auto"/>
      </w:pPr>
      <w:r>
        <w:separator/>
      </w:r>
    </w:p>
  </w:endnote>
  <w:endnote w:type="continuationSeparator" w:id="0">
    <w:p w:rsidR="009E4218" w:rsidRDefault="009E4218" w:rsidP="004D2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218" w:rsidRDefault="009E4218" w:rsidP="004D27B6">
      <w:pPr>
        <w:spacing w:after="0" w:line="240" w:lineRule="auto"/>
      </w:pPr>
      <w:r>
        <w:separator/>
      </w:r>
    </w:p>
  </w:footnote>
  <w:footnote w:type="continuationSeparator" w:id="0">
    <w:p w:rsidR="009E4218" w:rsidRDefault="009E4218" w:rsidP="004D27B6">
      <w:pPr>
        <w:spacing w:after="0" w:line="240" w:lineRule="auto"/>
      </w:pPr>
      <w:r>
        <w:continuationSeparator/>
      </w:r>
    </w:p>
  </w:footnote>
  <w:footnote w:id="1">
    <w:p w:rsidR="004D27B6" w:rsidRPr="001A044F" w:rsidRDefault="004D27B6" w:rsidP="004D27B6">
      <w:pPr>
        <w:pStyle w:val="a6"/>
        <w:rPr>
          <w:sz w:val="24"/>
          <w:szCs w:val="24"/>
        </w:rPr>
      </w:pPr>
      <w:r w:rsidRPr="001A044F">
        <w:rPr>
          <w:rStyle w:val="a8"/>
          <w:szCs w:val="24"/>
        </w:rPr>
        <w:footnoteRef/>
      </w:r>
      <w:r w:rsidRPr="001A044F">
        <w:rPr>
          <w:sz w:val="24"/>
          <w:szCs w:val="24"/>
        </w:rPr>
        <w:t xml:space="preserve"> Далее – налоговые льготы</w:t>
      </w:r>
      <w:r>
        <w:rPr>
          <w:sz w:val="24"/>
          <w:szCs w:val="24"/>
        </w:rPr>
        <w:t>.</w:t>
      </w:r>
      <w:r w:rsidRPr="001A044F">
        <w:rPr>
          <w:sz w:val="24"/>
          <w:szCs w:val="24"/>
        </w:rPr>
        <w:t xml:space="preserve"> </w:t>
      </w:r>
    </w:p>
  </w:footnote>
  <w:footnote w:id="2">
    <w:p w:rsidR="004D27B6" w:rsidRPr="001A044F" w:rsidRDefault="004D27B6" w:rsidP="004D27B6">
      <w:pPr>
        <w:pStyle w:val="a6"/>
        <w:rPr>
          <w:sz w:val="24"/>
          <w:szCs w:val="24"/>
        </w:rPr>
      </w:pPr>
      <w:r w:rsidRPr="001A044F">
        <w:rPr>
          <w:rStyle w:val="a8"/>
          <w:szCs w:val="24"/>
        </w:rPr>
        <w:footnoteRef/>
      </w:r>
      <w:r w:rsidRPr="001A044F">
        <w:rPr>
          <w:sz w:val="24"/>
          <w:szCs w:val="24"/>
        </w:rPr>
        <w:t xml:space="preserve"> Далее – заявление о льготе</w:t>
      </w:r>
      <w:r>
        <w:rPr>
          <w:sz w:val="24"/>
          <w:szCs w:val="24"/>
        </w:rPr>
        <w:t>.</w:t>
      </w:r>
      <w:r w:rsidRPr="001A044F">
        <w:rPr>
          <w:sz w:val="24"/>
          <w:szCs w:val="24"/>
        </w:rPr>
        <w:t xml:space="preserve"> </w:t>
      </w:r>
    </w:p>
  </w:footnote>
  <w:footnote w:id="3">
    <w:p w:rsidR="004D27B6" w:rsidRPr="001A044F" w:rsidRDefault="004D27B6" w:rsidP="004D27B6">
      <w:pPr>
        <w:pStyle w:val="a6"/>
        <w:rPr>
          <w:sz w:val="24"/>
          <w:szCs w:val="24"/>
        </w:rPr>
      </w:pPr>
      <w:r w:rsidRPr="001A044F">
        <w:rPr>
          <w:rStyle w:val="a8"/>
          <w:szCs w:val="24"/>
        </w:rPr>
        <w:footnoteRef/>
      </w:r>
      <w:r w:rsidRPr="001A044F">
        <w:rPr>
          <w:sz w:val="24"/>
          <w:szCs w:val="24"/>
        </w:rPr>
        <w:t xml:space="preserve"> Далее – Налоговый кодекс</w:t>
      </w:r>
      <w:r>
        <w:rPr>
          <w:sz w:val="24"/>
          <w:szCs w:val="24"/>
        </w:rPr>
        <w:t>.</w:t>
      </w:r>
      <w:r w:rsidRPr="001A044F">
        <w:rPr>
          <w:sz w:val="24"/>
          <w:szCs w:val="24"/>
        </w:rPr>
        <w:t xml:space="preserve"> </w:t>
      </w:r>
    </w:p>
  </w:footnote>
  <w:footnote w:id="4">
    <w:p w:rsidR="004D27B6" w:rsidRPr="001A044F" w:rsidRDefault="004D27B6" w:rsidP="004D27B6">
      <w:pPr>
        <w:pStyle w:val="a6"/>
        <w:rPr>
          <w:sz w:val="24"/>
          <w:szCs w:val="24"/>
        </w:rPr>
      </w:pPr>
      <w:r w:rsidRPr="001A044F">
        <w:rPr>
          <w:rStyle w:val="a8"/>
          <w:szCs w:val="24"/>
        </w:rPr>
        <w:footnoteRef/>
      </w:r>
      <w:r w:rsidRPr="001A044F">
        <w:rPr>
          <w:sz w:val="24"/>
          <w:szCs w:val="24"/>
        </w:rPr>
        <w:t xml:space="preserve"> Далее совместно именуются – налоги</w:t>
      </w:r>
      <w:r>
        <w:rPr>
          <w:sz w:val="24"/>
          <w:szCs w:val="24"/>
        </w:rPr>
        <w:t>.</w:t>
      </w:r>
      <w:r w:rsidRPr="001A044F">
        <w:rPr>
          <w:sz w:val="24"/>
          <w:szCs w:val="24"/>
        </w:rPr>
        <w:t xml:space="preserve"> </w:t>
      </w:r>
    </w:p>
  </w:footnote>
  <w:footnote w:id="5">
    <w:p w:rsidR="004D27B6" w:rsidRPr="001A044F" w:rsidRDefault="004D27B6" w:rsidP="004D27B6">
      <w:pPr>
        <w:pStyle w:val="a6"/>
        <w:rPr>
          <w:sz w:val="24"/>
          <w:szCs w:val="24"/>
        </w:rPr>
      </w:pPr>
      <w:r w:rsidRPr="001A044F">
        <w:rPr>
          <w:rStyle w:val="a8"/>
          <w:szCs w:val="24"/>
        </w:rPr>
        <w:footnoteRef/>
      </w:r>
      <w:r w:rsidRPr="001A044F">
        <w:rPr>
          <w:sz w:val="24"/>
          <w:szCs w:val="24"/>
        </w:rPr>
        <w:t xml:space="preserve"> Далее – Сообщени</w:t>
      </w:r>
      <w:r>
        <w:rPr>
          <w:sz w:val="24"/>
          <w:szCs w:val="24"/>
        </w:rPr>
        <w:t>е.</w:t>
      </w:r>
      <w:r w:rsidRPr="001A044F">
        <w:rPr>
          <w:sz w:val="24"/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C17" w:rsidRDefault="009E4218" w:rsidP="00D57C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D57C17" w:rsidRDefault="009E42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18041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427FC" w:rsidRPr="006427FC" w:rsidRDefault="009E421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427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427F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27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27B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427F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427FC" w:rsidRPr="004E2E8A" w:rsidRDefault="009E4218">
    <w:pPr>
      <w:pStyle w:val="a3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B6"/>
    <w:rsid w:val="003F6C89"/>
    <w:rsid w:val="004D27B6"/>
    <w:rsid w:val="009E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2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27B6"/>
  </w:style>
  <w:style w:type="character" w:styleId="a5">
    <w:name w:val="page number"/>
    <w:basedOn w:val="a0"/>
    <w:rsid w:val="004D27B6"/>
  </w:style>
  <w:style w:type="paragraph" w:styleId="a6">
    <w:name w:val="footnote text"/>
    <w:basedOn w:val="a"/>
    <w:link w:val="a7"/>
    <w:uiPriority w:val="99"/>
    <w:semiHidden/>
    <w:rsid w:val="004D27B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4D27B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footnote reference"/>
    <w:uiPriority w:val="99"/>
    <w:semiHidden/>
    <w:rsid w:val="004D27B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2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27B6"/>
  </w:style>
  <w:style w:type="character" w:styleId="a5">
    <w:name w:val="page number"/>
    <w:basedOn w:val="a0"/>
    <w:rsid w:val="004D27B6"/>
  </w:style>
  <w:style w:type="paragraph" w:styleId="a6">
    <w:name w:val="footnote text"/>
    <w:basedOn w:val="a"/>
    <w:link w:val="a7"/>
    <w:uiPriority w:val="99"/>
    <w:semiHidden/>
    <w:rsid w:val="004D27B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4D27B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footnote reference"/>
    <w:uiPriority w:val="99"/>
    <w:semiHidden/>
    <w:rsid w:val="004D27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E93DA03C31C2842CBC9A2389EED7604A6FB3B789D9304307E2F7CB3E355E292285C186EA13BDBC8C2F72D677F2E31030590FA95EB20Dc56FI" TargetMode="External"/><Relationship Id="rId13" Type="http://schemas.openxmlformats.org/officeDocument/2006/relationships/hyperlink" Target="consultantplus://offline/ref=99E93DA03C31C2842CBC9A2389EED7604A6FB3B789D9304307E2F7CB3E355E292285C186EA13BCB88C2F72D677F2E31030590FA95EB20Dc56F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9E93DA03C31C2842CBC9A2389EED7604A6FB3B789D9304307E2F7CB3E355E292285C186EA13BCB88C2F72D677F2E31030590FA95EB20Dc56FI" TargetMode="External"/><Relationship Id="rId12" Type="http://schemas.openxmlformats.org/officeDocument/2006/relationships/hyperlink" Target="consultantplus://offline/ref=A230194CC3D2B2AF5699ED5B7DF3004974FF2F84B8DF49CBC8DB74540A3B6C62F32A03F97CE998E63B6947F933w47A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230194CC3D2B2AF5699ED5B7DF3004974FE2B8FB9DB49CBC8DB74540A3B6C62F32A03F97CE998E63B6947F933w47A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F273250CCF5EF6ADBE6E48D5EC205C80D55B6F6CC53473309E6FA8EE9DAC059749DEE337F3141319AE3E45E289C763EAAB487ED40133F6oBN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F273250CCF5EF6ADBE6E48D5EC205C80D45D6865C33473309E6FA8EE9DAC059749DEE337F312101CAE3E45E289C763EAAB487ED40133F6oBN4I" TargetMode="External"/><Relationship Id="rId14" Type="http://schemas.openxmlformats.org/officeDocument/2006/relationships/hyperlink" Target="consultantplus://offline/ref=99E93DA03C31C2842CBC9A2389EED7604A6FB3B789D9304307E2F7CB3E355E292285C186EA13BDBC8C2F72D677F2E31030590FA95EB20Dc56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1523</Words>
  <Characters>8686</Characters>
  <Application>Microsoft Office Word</Application>
  <DocSecurity>0</DocSecurity>
  <Lines>72</Lines>
  <Paragraphs>20</Paragraphs>
  <ScaleCrop>false</ScaleCrop>
  <Company/>
  <LinksUpToDate>false</LinksUpToDate>
  <CharactersWithSpaces>10189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Лавренчук Анастасия Николаевна</dc:creator>
  <cp:lastModifiedBy>Лавренчук Анастасия Николаевна</cp:lastModifiedBy>
  <cp:revision>1</cp:revision>
  <dcterms:created xsi:type="dcterms:W3CDTF">2021-02-11T00:50:00Z</dcterms:created>
  <dcterms:modified xsi:type="dcterms:W3CDTF">2021-02-11T00:54:00Z</dcterms:modified>
</cp:coreProperties>
</file>